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65" w:rsidRDefault="00E733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</w:p>
    <w:p w:rsidR="00E73365" w:rsidRDefault="00E73365">
      <w:pPr>
        <w:rPr>
          <w:rFonts w:ascii="Times New Roman" w:hAnsi="Times New Roman" w:cs="Times New Roman"/>
          <w:sz w:val="24"/>
          <w:szCs w:val="24"/>
        </w:rPr>
      </w:pPr>
    </w:p>
    <w:p w:rsidR="00E73365" w:rsidRDefault="001E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E7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E7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E7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I’and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Thou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r w:rsidR="00E73365">
        <w:rPr>
          <w:rFonts w:ascii="Times New Roman" w:hAnsi="Times New Roman" w:cs="Times New Roman"/>
          <w:sz w:val="24"/>
          <w:szCs w:val="24"/>
        </w:rPr>
        <w:t>as a non-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reifying</w:t>
      </w:r>
      <w:proofErr w:type="spellEnd"/>
      <w:r w:rsidR="00E7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reciprocal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>,</w:t>
      </w:r>
      <w:r w:rsidR="00E7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lingu</w:t>
      </w:r>
      <w:r w:rsidR="00CC6B82">
        <w:rPr>
          <w:rFonts w:ascii="Times New Roman" w:hAnsi="Times New Roman" w:cs="Times New Roman"/>
          <w:sz w:val="24"/>
          <w:szCs w:val="24"/>
        </w:rPr>
        <w:t>i</w:t>
      </w:r>
      <w:r w:rsidR="006D684D">
        <w:rPr>
          <w:rFonts w:ascii="Times New Roman" w:hAnsi="Times New Roman" w:cs="Times New Roman"/>
          <w:sz w:val="24"/>
          <w:szCs w:val="24"/>
        </w:rPr>
        <w:t>stic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E73365">
        <w:rPr>
          <w:rFonts w:ascii="Times New Roman" w:hAnsi="Times New Roman" w:cs="Times New Roman"/>
          <w:sz w:val="24"/>
          <w:szCs w:val="24"/>
        </w:rPr>
        <w:t xml:space="preserve">form of </w:t>
      </w:r>
      <w:proofErr w:type="spellStart"/>
      <w:r w:rsidR="00E7336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EE02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intrinsic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are free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intentions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, in contrast </w:t>
      </w:r>
      <w:proofErr w:type="spellStart"/>
      <w:r w:rsidR="002414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41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r w:rsidR="0024148C">
        <w:rPr>
          <w:rFonts w:ascii="Times New Roman" w:hAnsi="Times New Roman" w:cs="Times New Roman"/>
          <w:sz w:val="24"/>
          <w:szCs w:val="24"/>
        </w:rPr>
        <w:t>I-It relations.</w:t>
      </w:r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781208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relations are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="00F2259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F2259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logic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EE027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inevitably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bring</w:t>
      </w:r>
      <w:r w:rsidR="00EE027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calculative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-interest. For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asymmetric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absolute,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unconditional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awe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visage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’ of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his family was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exterminated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Nazis’s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N</w:t>
      </w:r>
      <w:r w:rsidR="00781208">
        <w:rPr>
          <w:rFonts w:ascii="Times New Roman" w:hAnsi="Times New Roman" w:cs="Times New Roman"/>
          <w:sz w:val="24"/>
          <w:szCs w:val="24"/>
        </w:rPr>
        <w:t>evertheless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r w:rsidR="006D684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r w:rsidR="006D684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78120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face of God’</w:t>
      </w:r>
      <w:r w:rsidR="006D684D">
        <w:rPr>
          <w:rFonts w:ascii="Times New Roman" w:hAnsi="Times New Roman" w:cs="Times New Roman"/>
          <w:sz w:val="24"/>
          <w:szCs w:val="24"/>
        </w:rPr>
        <w:t>,</w:t>
      </w:r>
      <w:r w:rsidR="00781208">
        <w:rPr>
          <w:rFonts w:ascii="Times New Roman" w:hAnsi="Times New Roman" w:cs="Times New Roman"/>
          <w:sz w:val="24"/>
          <w:szCs w:val="24"/>
        </w:rPr>
        <w:t xml:space="preserve"> prio</w:t>
      </w:r>
      <w:r w:rsidR="006D684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sense of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approach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approximation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God</w:t>
      </w:r>
      <w:r w:rsidR="00CC6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ultimate ‘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>’</w:t>
      </w:r>
      <w:r w:rsidR="006D6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781208">
        <w:rPr>
          <w:rFonts w:ascii="Times New Roman" w:hAnsi="Times New Roman" w:cs="Times New Roman"/>
          <w:sz w:val="24"/>
          <w:szCs w:val="24"/>
        </w:rPr>
        <w:t xml:space="preserve">lies ‘in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divinely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>.</w:t>
      </w:r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Nazism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rationalis</w:t>
      </w:r>
      <w:r w:rsidR="008F7524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de-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mystification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Weber,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individualism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capitalism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collectivism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communism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8F752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sought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4D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6D684D">
        <w:rPr>
          <w:rFonts w:ascii="Times New Roman" w:hAnsi="Times New Roman" w:cs="Times New Roman"/>
          <w:sz w:val="24"/>
          <w:szCs w:val="24"/>
        </w:rPr>
        <w:t xml:space="preserve"> form </w:t>
      </w:r>
      <w:r w:rsidR="008F7524">
        <w:rPr>
          <w:rFonts w:ascii="Times New Roman" w:hAnsi="Times New Roman" w:cs="Times New Roman"/>
          <w:sz w:val="24"/>
          <w:szCs w:val="24"/>
        </w:rPr>
        <w:t xml:space="preserve">of contact </w:t>
      </w:r>
      <w:r w:rsidR="00CC6B82">
        <w:rPr>
          <w:rFonts w:ascii="Times New Roman" w:hAnsi="Times New Roman" w:cs="Times New Roman"/>
          <w:sz w:val="24"/>
          <w:szCs w:val="24"/>
        </w:rPr>
        <w:t xml:space="preserve">in </w:t>
      </w:r>
      <w:r w:rsidR="006D684D">
        <w:rPr>
          <w:rFonts w:ascii="Times New Roman" w:hAnsi="Times New Roman" w:cs="Times New Roman"/>
          <w:sz w:val="24"/>
          <w:szCs w:val="24"/>
        </w:rPr>
        <w:t>community</w:t>
      </w:r>
      <w:r w:rsidR="008F7524">
        <w:rPr>
          <w:rFonts w:ascii="Times New Roman" w:hAnsi="Times New Roman" w:cs="Times New Roman"/>
          <w:sz w:val="24"/>
          <w:szCs w:val="24"/>
        </w:rPr>
        <w:t>,</w:t>
      </w:r>
      <w:r w:rsidR="006D684D">
        <w:rPr>
          <w:rFonts w:ascii="Times New Roman" w:hAnsi="Times New Roman" w:cs="Times New Roman"/>
          <w:sz w:val="24"/>
          <w:szCs w:val="24"/>
        </w:rPr>
        <w:t xml:space="preserve"> </w:t>
      </w:r>
      <w:r w:rsidR="00CC6B8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attempted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Israeli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Kibbutz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r w:rsidR="006D684D">
        <w:rPr>
          <w:rFonts w:ascii="Times New Roman" w:hAnsi="Times New Roman" w:cs="Times New Roman"/>
          <w:sz w:val="24"/>
          <w:szCs w:val="24"/>
        </w:rPr>
        <w:t>(</w:t>
      </w:r>
      <w:r w:rsidR="00CC6B82">
        <w:rPr>
          <w:rFonts w:ascii="Times New Roman" w:hAnsi="Times New Roman" w:cs="Times New Roman"/>
          <w:sz w:val="24"/>
          <w:szCs w:val="24"/>
        </w:rPr>
        <w:t>Mo</w:t>
      </w:r>
      <w:r w:rsidR="00F2259D">
        <w:rPr>
          <w:rFonts w:ascii="Times New Roman" w:hAnsi="Times New Roman" w:cs="Times New Roman"/>
          <w:sz w:val="24"/>
          <w:szCs w:val="24"/>
        </w:rPr>
        <w:t>rgan</w:t>
      </w:r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B82">
        <w:rPr>
          <w:rFonts w:ascii="Times New Roman" w:hAnsi="Times New Roman" w:cs="Times New Roman"/>
          <w:sz w:val="24"/>
          <w:szCs w:val="24"/>
        </w:rPr>
        <w:t>Guillherme</w:t>
      </w:r>
      <w:proofErr w:type="spellEnd"/>
      <w:r w:rsidR="00CC6B82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781208" w:rsidRDefault="00781208">
      <w:pPr>
        <w:rPr>
          <w:rFonts w:ascii="Times New Roman" w:hAnsi="Times New Roman" w:cs="Times New Roman"/>
          <w:sz w:val="24"/>
          <w:szCs w:val="24"/>
        </w:rPr>
      </w:pPr>
    </w:p>
    <w:p w:rsidR="00781208" w:rsidRDefault="00781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contrast, Habermas (</w:t>
      </w:r>
      <w:r w:rsidR="0008039A">
        <w:rPr>
          <w:rFonts w:ascii="Times New Roman" w:hAnsi="Times New Roman" w:cs="Times New Roman"/>
          <w:sz w:val="24"/>
          <w:szCs w:val="24"/>
        </w:rPr>
        <w:t xml:space="preserve">1948)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EE0275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power (‘</w:t>
      </w:r>
      <w:proofErr w:type="spellStart"/>
      <w:r>
        <w:rPr>
          <w:rFonts w:ascii="Times New Roman" w:hAnsi="Times New Roman" w:cs="Times New Roman"/>
          <w:sz w:val="24"/>
          <w:szCs w:val="24"/>
        </w:rPr>
        <w:t>Herrschaftsfreie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Diskussion</w:t>
      </w:r>
      <w:proofErr w:type="spellEnd"/>
      <w:r>
        <w:rPr>
          <w:rFonts w:ascii="Times New Roman" w:hAnsi="Times New Roman" w:cs="Times New Roman"/>
          <w:sz w:val="24"/>
          <w:szCs w:val="24"/>
        </w:rPr>
        <w:t>’).</w:t>
      </w:r>
    </w:p>
    <w:p w:rsidR="00781208" w:rsidRDefault="00781208">
      <w:pPr>
        <w:rPr>
          <w:rFonts w:ascii="Times New Roman" w:hAnsi="Times New Roman" w:cs="Times New Roman"/>
          <w:sz w:val="24"/>
          <w:szCs w:val="24"/>
        </w:rPr>
      </w:pPr>
    </w:p>
    <w:p w:rsidR="00781208" w:rsidRDefault="00CC28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78120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8D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utopian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realistic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these views are,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nature of</w:t>
      </w:r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bou</w:t>
      </w:r>
      <w:r w:rsidR="0008039A">
        <w:rPr>
          <w:rFonts w:ascii="Times New Roman" w:hAnsi="Times New Roman" w:cs="Times New Roman"/>
          <w:sz w:val="24"/>
          <w:szCs w:val="24"/>
        </w:rPr>
        <w:t>n</w:t>
      </w:r>
      <w:r w:rsidR="00781208">
        <w:rPr>
          <w:rFonts w:ascii="Times New Roman" w:hAnsi="Times New Roman" w:cs="Times New Roman"/>
          <w:sz w:val="24"/>
          <w:szCs w:val="24"/>
        </w:rPr>
        <w:t>dary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selves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08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lapses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 ‘I-It’ </w:t>
      </w:r>
      <w:proofErr w:type="spellStart"/>
      <w:r w:rsidR="0008039A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080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dialogical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8120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781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D2" w:rsidRDefault="008D0DD2">
      <w:pPr>
        <w:rPr>
          <w:rFonts w:ascii="Times New Roman" w:hAnsi="Times New Roman" w:cs="Times New Roman"/>
          <w:sz w:val="24"/>
          <w:szCs w:val="24"/>
        </w:rPr>
      </w:pPr>
    </w:p>
    <w:p w:rsidR="00CC2819" w:rsidRPr="00930EA0" w:rsidRDefault="007F7D79">
      <w:pPr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Sources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extent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dialogue</w:t>
      </w:r>
      <w:proofErr w:type="spellEnd"/>
    </w:p>
    <w:p w:rsidR="00CC2819" w:rsidRDefault="00CC2819">
      <w:pPr>
        <w:rPr>
          <w:rFonts w:ascii="Times New Roman" w:hAnsi="Times New Roman" w:cs="Times New Roman"/>
          <w:sz w:val="24"/>
          <w:szCs w:val="24"/>
        </w:rPr>
      </w:pPr>
    </w:p>
    <w:p w:rsidR="0078206E" w:rsidRDefault="0078206E" w:rsidP="0078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 or act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subconscious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6E" w:rsidRDefault="0078206E" w:rsidP="0078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in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ideologies</w:t>
      </w:r>
      <w:proofErr w:type="spellEnd"/>
      <w:r>
        <w:rPr>
          <w:rFonts w:ascii="Times New Roman" w:hAnsi="Times New Roman" w:cs="Times New Roman"/>
          <w:sz w:val="24"/>
          <w:szCs w:val="24"/>
        </w:rPr>
        <w:t>, or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metanarratives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taken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discourse.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escape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professional code.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inevitable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point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axioms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7524">
        <w:rPr>
          <w:rFonts w:ascii="Times New Roman" w:hAnsi="Times New Roman" w:cs="Times New Roman"/>
          <w:sz w:val="24"/>
          <w:szCs w:val="24"/>
        </w:rPr>
        <w:t xml:space="preserve">On a flat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parallel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intersect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but on a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curved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globe,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do, at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poles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Paradoxically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opportunity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awareness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breathed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catch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frame,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bearing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force. </w:t>
      </w:r>
    </w:p>
    <w:p w:rsidR="0078206E" w:rsidRDefault="0078206E" w:rsidP="001E6BB4">
      <w:pPr>
        <w:rPr>
          <w:rFonts w:ascii="Times New Roman" w:hAnsi="Times New Roman" w:cs="Times New Roman"/>
          <w:sz w:val="24"/>
          <w:szCs w:val="24"/>
        </w:rPr>
      </w:pPr>
    </w:p>
    <w:p w:rsidR="00D3668E" w:rsidRDefault="001E6BB4" w:rsidP="001E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pervasive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anticipates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intelligent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 w:cs="Times New Roman"/>
          <w:sz w:val="24"/>
          <w:szCs w:val="24"/>
        </w:rPr>
        <w:t>spawned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tool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it. </w:t>
      </w:r>
      <w:r w:rsidR="00D3668E">
        <w:rPr>
          <w:rFonts w:ascii="Times New Roman" w:hAnsi="Times New Roman" w:cs="Times New Roman"/>
          <w:sz w:val="24"/>
          <w:szCs w:val="24"/>
        </w:rPr>
        <w:t xml:space="preserve">Strategic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sel</w:t>
      </w:r>
      <w:r w:rsidR="00A90849">
        <w:rPr>
          <w:rFonts w:ascii="Times New Roman" w:hAnsi="Times New Roman" w:cs="Times New Roman"/>
          <w:sz w:val="24"/>
          <w:szCs w:val="24"/>
        </w:rPr>
        <w:t>f</w:t>
      </w:r>
      <w:r w:rsidR="00D3668E">
        <w:rPr>
          <w:rFonts w:ascii="Times New Roman" w:hAnsi="Times New Roman" w:cs="Times New Roman"/>
          <w:sz w:val="24"/>
          <w:szCs w:val="24"/>
        </w:rPr>
        <w:t>-centered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manipulative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self-interested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manipulative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succes</w:t>
      </w:r>
      <w:r w:rsidR="00A90849">
        <w:rPr>
          <w:rFonts w:ascii="Times New Roman" w:hAnsi="Times New Roman" w:cs="Times New Roman"/>
          <w:sz w:val="24"/>
          <w:szCs w:val="24"/>
        </w:rPr>
        <w:t>s</w:t>
      </w:r>
      <w:r w:rsidR="008F7524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innimical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>
        <w:rPr>
          <w:rFonts w:ascii="Times New Roman" w:hAnsi="Times New Roman" w:cs="Times New Roman"/>
          <w:sz w:val="24"/>
          <w:szCs w:val="24"/>
        </w:rPr>
        <w:t>Thou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>,</w:t>
      </w:r>
      <w:r w:rsidR="00D3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</w:t>
      </w:r>
      <w:r w:rsidR="008F75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response.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unanticipated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reciprocal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well-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24">
        <w:rPr>
          <w:rFonts w:ascii="Times New Roman" w:hAnsi="Times New Roman" w:cs="Times New Roman"/>
          <w:sz w:val="24"/>
          <w:szCs w:val="24"/>
        </w:rPr>
        <w:t>apparently</w:t>
      </w:r>
      <w:proofErr w:type="spellEnd"/>
      <w:r w:rsidR="008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Rogers, </w:t>
      </w:r>
      <w:r w:rsidR="008F7524">
        <w:rPr>
          <w:rFonts w:ascii="Times New Roman" w:hAnsi="Times New Roman" w:cs="Times New Roman"/>
          <w:sz w:val="24"/>
          <w:szCs w:val="24"/>
        </w:rPr>
        <w:t>in 19</w:t>
      </w:r>
      <w:r>
        <w:rPr>
          <w:rFonts w:ascii="Times New Roman" w:hAnsi="Times New Roman" w:cs="Times New Roman"/>
          <w:sz w:val="24"/>
          <w:szCs w:val="24"/>
        </w:rPr>
        <w:t xml:space="preserve">57,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3668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 xml:space="preserve"> but </w:t>
      </w:r>
      <w:r w:rsidR="008F752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Cissna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1998), </w:t>
      </w:r>
      <w:r w:rsidR="00D3668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849">
        <w:rPr>
          <w:rFonts w:ascii="Times New Roman" w:hAnsi="Times New Roman" w:cs="Times New Roman"/>
          <w:sz w:val="24"/>
          <w:szCs w:val="24"/>
        </w:rPr>
        <w:t>of I-</w:t>
      </w:r>
      <w:proofErr w:type="spellStart"/>
      <w:r w:rsidR="00A90849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A9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I-It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Rosa (2019:205-6)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‘touches,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moves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D366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A08" w:rsidRDefault="00B01A08" w:rsidP="001E6BB4">
      <w:pPr>
        <w:rPr>
          <w:rFonts w:ascii="Times New Roman" w:hAnsi="Times New Roman" w:cs="Times New Roman"/>
          <w:sz w:val="24"/>
          <w:szCs w:val="24"/>
        </w:rPr>
      </w:pPr>
    </w:p>
    <w:p w:rsidR="001E6BB4" w:rsidRDefault="001E6BB4" w:rsidP="001E6B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teacher-pupil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7D">
        <w:rPr>
          <w:rFonts w:ascii="Times New Roman" w:hAnsi="Times New Roman" w:cs="Times New Roman"/>
          <w:sz w:val="24"/>
          <w:szCs w:val="24"/>
        </w:rPr>
        <w:t>dev</w:t>
      </w:r>
      <w:r w:rsidR="00A90849">
        <w:rPr>
          <w:rFonts w:ascii="Times New Roman" w:hAnsi="Times New Roman" w:cs="Times New Roman"/>
          <w:sz w:val="24"/>
          <w:szCs w:val="24"/>
        </w:rPr>
        <w:t>e</w:t>
      </w:r>
      <w:r w:rsidR="009D587D">
        <w:rPr>
          <w:rFonts w:ascii="Times New Roman" w:hAnsi="Times New Roman" w:cs="Times New Roman"/>
          <w:sz w:val="24"/>
          <w:szCs w:val="24"/>
        </w:rPr>
        <w:t>lo</w:t>
      </w:r>
      <w:r w:rsidR="00B01A08">
        <w:rPr>
          <w:rFonts w:ascii="Times New Roman" w:hAnsi="Times New Roman" w:cs="Times New Roman"/>
          <w:sz w:val="24"/>
          <w:szCs w:val="24"/>
        </w:rPr>
        <w:t>p</w:t>
      </w:r>
      <w:r w:rsidR="009D587D">
        <w:rPr>
          <w:rFonts w:ascii="Times New Roman" w:hAnsi="Times New Roman" w:cs="Times New Roman"/>
          <w:sz w:val="24"/>
          <w:szCs w:val="24"/>
        </w:rPr>
        <w:t xml:space="preserve">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flourishing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pupil</w:t>
      </w:r>
      <w:r w:rsidR="00E03220">
        <w:rPr>
          <w:rFonts w:ascii="Times New Roman" w:hAnsi="Times New Roman" w:cs="Times New Roman"/>
          <w:sz w:val="24"/>
          <w:szCs w:val="24"/>
        </w:rPr>
        <w:t>.</w:t>
      </w:r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r w:rsidR="0078206E">
        <w:rPr>
          <w:rFonts w:ascii="Times New Roman" w:hAnsi="Times New Roman" w:cs="Times New Roman"/>
          <w:sz w:val="24"/>
          <w:szCs w:val="24"/>
        </w:rPr>
        <w:t>Teaching is</w:t>
      </w:r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funneling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informa</w:t>
      </w:r>
      <w:r w:rsidR="0078206E">
        <w:rPr>
          <w:rFonts w:ascii="Times New Roman" w:hAnsi="Times New Roman" w:cs="Times New Roman"/>
          <w:sz w:val="24"/>
          <w:szCs w:val="24"/>
        </w:rPr>
        <w:t xml:space="preserve">tion </w:t>
      </w:r>
      <w:proofErr w:type="spellStart"/>
      <w:r w:rsidR="007820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8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0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206E">
        <w:rPr>
          <w:rFonts w:ascii="Times New Roman" w:hAnsi="Times New Roman" w:cs="Times New Roman"/>
          <w:sz w:val="24"/>
          <w:szCs w:val="24"/>
        </w:rPr>
        <w:t xml:space="preserve"> pupil bu</w:t>
      </w:r>
      <w:r w:rsidR="00261233">
        <w:rPr>
          <w:rFonts w:ascii="Times New Roman" w:hAnsi="Times New Roman" w:cs="Times New Roman"/>
          <w:sz w:val="24"/>
          <w:szCs w:val="24"/>
        </w:rPr>
        <w:t xml:space="preserve">t </w:t>
      </w:r>
      <w:r w:rsidR="00B01A08">
        <w:rPr>
          <w:rFonts w:ascii="Times New Roman" w:hAnsi="Times New Roman" w:cs="Times New Roman"/>
          <w:sz w:val="24"/>
          <w:szCs w:val="24"/>
        </w:rPr>
        <w:t>releasing</w:t>
      </w:r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t</w:t>
      </w:r>
      <w:r w:rsidR="009D587D">
        <w:rPr>
          <w:rFonts w:ascii="Times New Roman" w:hAnsi="Times New Roman" w:cs="Times New Roman"/>
          <w:sz w:val="24"/>
          <w:szCs w:val="24"/>
        </w:rPr>
        <w:t>h</w:t>
      </w:r>
      <w:r w:rsidR="002612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pupil’s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fruitless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pupil is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it.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Vygotsky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r w:rsidR="00EE0275">
        <w:rPr>
          <w:rFonts w:ascii="Times New Roman" w:hAnsi="Times New Roman" w:cs="Times New Roman"/>
          <w:sz w:val="24"/>
          <w:szCs w:val="24"/>
        </w:rPr>
        <w:t>(</w:t>
      </w:r>
      <w:r w:rsidR="009D587D">
        <w:rPr>
          <w:rFonts w:ascii="Times New Roman" w:hAnsi="Times New Roman" w:cs="Times New Roman"/>
          <w:sz w:val="24"/>
          <w:szCs w:val="24"/>
        </w:rPr>
        <w:t xml:space="preserve">1934)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coined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Zoped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: Zone of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proximal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development’,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61233">
        <w:rPr>
          <w:rFonts w:ascii="Times New Roman" w:hAnsi="Times New Roman" w:cs="Times New Roman"/>
          <w:sz w:val="24"/>
          <w:szCs w:val="24"/>
        </w:rPr>
        <w:t xml:space="preserve"> pupil</w:t>
      </w:r>
      <w:r w:rsidR="0078206E">
        <w:rPr>
          <w:rFonts w:ascii="Times New Roman" w:hAnsi="Times New Roman" w:cs="Times New Roman"/>
          <w:sz w:val="24"/>
          <w:szCs w:val="24"/>
        </w:rPr>
        <w:t xml:space="preserve"> </w:t>
      </w:r>
      <w:r w:rsidR="009D587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flourishing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90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. Jerome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scaffolding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’, as in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a bridge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 supports </w:t>
      </w:r>
      <w:proofErr w:type="spellStart"/>
      <w:r w:rsidR="009D587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9D587D">
        <w:rPr>
          <w:rFonts w:ascii="Times New Roman" w:hAnsi="Times New Roman" w:cs="Times New Roman"/>
          <w:sz w:val="24"/>
          <w:szCs w:val="24"/>
        </w:rPr>
        <w:t xml:space="preserve">.(Wood et al.976) </w:t>
      </w:r>
    </w:p>
    <w:p w:rsidR="007601C3" w:rsidRDefault="007601C3">
      <w:pPr>
        <w:rPr>
          <w:rFonts w:ascii="Times New Roman" w:hAnsi="Times New Roman" w:cs="Times New Roman"/>
          <w:sz w:val="24"/>
          <w:szCs w:val="24"/>
        </w:rPr>
      </w:pPr>
    </w:p>
    <w:p w:rsidR="007601C3" w:rsidRDefault="007601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75">
        <w:rPr>
          <w:rFonts w:ascii="Times New Roman" w:hAnsi="Times New Roman" w:cs="Times New Roman"/>
          <w:sz w:val="24"/>
          <w:szCs w:val="24"/>
        </w:rPr>
        <w:t xml:space="preserve">(2003)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sceptical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r w:rsidR="00EE02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pupil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conform.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 has in mind,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pupil. </w:t>
      </w:r>
      <w:r w:rsidR="00B87F88">
        <w:rPr>
          <w:rFonts w:ascii="Times New Roman" w:hAnsi="Times New Roman" w:cs="Times New Roman"/>
          <w:sz w:val="24"/>
          <w:szCs w:val="24"/>
        </w:rPr>
        <w:t xml:space="preserve">‘The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child</w:t>
      </w:r>
      <w:r w:rsidR="00B01A0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is take</w:t>
      </w:r>
      <w:r w:rsidR="00B87F8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molded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view of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w</w:t>
      </w:r>
      <w:r w:rsidR="00B01A0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is relevant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>’</w:t>
      </w:r>
      <w:r w:rsidR="00A90849">
        <w:rPr>
          <w:rFonts w:ascii="Times New Roman" w:hAnsi="Times New Roman" w:cs="Times New Roman"/>
          <w:sz w:val="24"/>
          <w:szCs w:val="24"/>
        </w:rPr>
        <w:t xml:space="preserve"> </w:t>
      </w:r>
      <w:r w:rsidR="00B87F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Searle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2003:</w:t>
      </w:r>
      <w:r w:rsidR="00003463">
        <w:rPr>
          <w:rFonts w:ascii="Times New Roman" w:hAnsi="Times New Roman" w:cs="Times New Roman"/>
          <w:sz w:val="24"/>
          <w:szCs w:val="24"/>
        </w:rPr>
        <w:t>28)</w:t>
      </w:r>
      <w:r w:rsidR="00B87F88">
        <w:rPr>
          <w:rFonts w:ascii="Times New Roman" w:hAnsi="Times New Roman" w:cs="Times New Roman"/>
          <w:sz w:val="24"/>
          <w:szCs w:val="24"/>
        </w:rPr>
        <w:t xml:space="preserve"> The teacher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facilitate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pupil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B87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88">
        <w:rPr>
          <w:rFonts w:ascii="Times New Roman" w:hAnsi="Times New Roman" w:cs="Times New Roman"/>
          <w:sz w:val="24"/>
          <w:szCs w:val="24"/>
        </w:rPr>
        <w:t>structure.</w:t>
      </w:r>
      <w:r w:rsidR="00EE027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opening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door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house, but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in building </w:t>
      </w:r>
      <w:proofErr w:type="spellStart"/>
      <w:r w:rsidR="00EE02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0275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7601C3" w:rsidRDefault="007601C3">
      <w:pPr>
        <w:rPr>
          <w:rFonts w:ascii="Times New Roman" w:hAnsi="Times New Roman" w:cs="Times New Roman"/>
          <w:sz w:val="24"/>
          <w:szCs w:val="24"/>
        </w:rPr>
      </w:pPr>
    </w:p>
    <w:p w:rsidR="00812C5C" w:rsidRDefault="007601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C2819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harnessed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, out of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opening up </w:t>
      </w:r>
      <w:proofErr w:type="spellStart"/>
      <w:r w:rsidR="00CC281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CC2819">
        <w:rPr>
          <w:rFonts w:ascii="Times New Roman" w:hAnsi="Times New Roman" w:cs="Times New Roman"/>
          <w:sz w:val="24"/>
          <w:szCs w:val="24"/>
        </w:rPr>
        <w:t xml:space="preserve"> </w:t>
      </w:r>
      <w:r w:rsidR="008D4B05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8D4B0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="008D4B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B05">
        <w:rPr>
          <w:rFonts w:ascii="Times New Roman" w:hAnsi="Times New Roman" w:cs="Times New Roman"/>
          <w:sz w:val="24"/>
          <w:szCs w:val="24"/>
        </w:rPr>
        <w:t>destruc</w:t>
      </w:r>
      <w:r w:rsidR="00CC2819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8D4B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4B05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8D4B05">
        <w:rPr>
          <w:rFonts w:ascii="Times New Roman" w:hAnsi="Times New Roman" w:cs="Times New Roman"/>
          <w:sz w:val="24"/>
          <w:szCs w:val="24"/>
        </w:rPr>
        <w:t xml:space="preserve"> 2006: 153).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instinct of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prot</w:t>
      </w:r>
      <w:r w:rsidR="001E6BB4">
        <w:rPr>
          <w:rFonts w:ascii="Times New Roman" w:hAnsi="Times New Roman" w:cs="Times New Roman"/>
          <w:sz w:val="24"/>
          <w:szCs w:val="24"/>
        </w:rPr>
        <w:t>ecting</w:t>
      </w:r>
      <w:proofErr w:type="spellEnd"/>
      <w:r w:rsidR="001E6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B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E6BB4">
        <w:rPr>
          <w:rFonts w:ascii="Times New Roman" w:hAnsi="Times New Roman" w:cs="Times New Roman"/>
          <w:sz w:val="24"/>
          <w:szCs w:val="24"/>
        </w:rPr>
        <w:t xml:space="preserve"> resources’ as Linden</w:t>
      </w:r>
      <w:r w:rsidR="007F7D79">
        <w:rPr>
          <w:rFonts w:ascii="Times New Roman" w:hAnsi="Times New Roman" w:cs="Times New Roman"/>
          <w:sz w:val="24"/>
          <w:szCs w:val="24"/>
        </w:rPr>
        <w:t>berg (</w:t>
      </w:r>
      <w:r w:rsidR="00E03220">
        <w:rPr>
          <w:rFonts w:ascii="Times New Roman" w:hAnsi="Times New Roman" w:cs="Times New Roman"/>
          <w:sz w:val="24"/>
          <w:szCs w:val="24"/>
        </w:rPr>
        <w:t>2003)</w:t>
      </w:r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as drive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inherited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a drive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survive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selection</w:t>
      </w:r>
      <w:r w:rsidR="007F7D79">
        <w:rPr>
          <w:rFonts w:ascii="Times New Roman" w:hAnsi="Times New Roman" w:cs="Times New Roman"/>
          <w:sz w:val="24"/>
          <w:szCs w:val="24"/>
        </w:rPr>
        <w:t>.</w:t>
      </w:r>
      <w:r w:rsidR="00B01A0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. </w:t>
      </w:r>
      <w:r w:rsidR="001E6BB4">
        <w:rPr>
          <w:rFonts w:ascii="Times New Roman" w:hAnsi="Times New Roman" w:cs="Times New Roman"/>
          <w:sz w:val="24"/>
          <w:szCs w:val="24"/>
        </w:rPr>
        <w:t xml:space="preserve"> </w:t>
      </w:r>
      <w:r w:rsidR="007F7D7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the.human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instinct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belong.</w:t>
      </w:r>
      <w:r w:rsidR="00B01A08">
        <w:rPr>
          <w:rFonts w:ascii="Times New Roman" w:hAnsi="Times New Roman" w:cs="Times New Roman"/>
          <w:sz w:val="24"/>
          <w:szCs w:val="24"/>
        </w:rPr>
        <w:t>to.</w:t>
      </w:r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evolut</w:t>
      </w:r>
      <w:r>
        <w:rPr>
          <w:rFonts w:ascii="Times New Roman" w:hAnsi="Times New Roman" w:cs="Times New Roman"/>
          <w:sz w:val="24"/>
          <w:szCs w:val="24"/>
        </w:rPr>
        <w:t>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</w:t>
      </w:r>
      <w:r w:rsidR="007F7D79">
        <w:rPr>
          <w:rFonts w:ascii="Times New Roman" w:hAnsi="Times New Roman" w:cs="Times New Roman"/>
          <w:sz w:val="24"/>
          <w:szCs w:val="24"/>
        </w:rPr>
        <w:t>ctive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conducive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survival of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7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F7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parochial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altruism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’ (de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Dreu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r w:rsidR="001E6BB4">
        <w:rPr>
          <w:rFonts w:ascii="Times New Roman" w:hAnsi="Times New Roman" w:cs="Times New Roman"/>
          <w:sz w:val="24"/>
          <w:szCs w:val="24"/>
        </w:rPr>
        <w:t>et al.</w:t>
      </w:r>
      <w:r w:rsidR="00E03220">
        <w:rPr>
          <w:rFonts w:ascii="Times New Roman" w:hAnsi="Times New Roman" w:cs="Times New Roman"/>
          <w:sz w:val="24"/>
          <w:szCs w:val="24"/>
        </w:rPr>
        <w:t>2014)</w:t>
      </w:r>
      <w:r w:rsidR="001E22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r w:rsidR="00E0322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03220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E0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0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20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="00E03220">
        <w:rPr>
          <w:rFonts w:ascii="Times New Roman" w:hAnsi="Times New Roman" w:cs="Times New Roman"/>
          <w:sz w:val="24"/>
          <w:szCs w:val="24"/>
        </w:rPr>
        <w:t xml:space="preserve"> i</w:t>
      </w:r>
      <w:r w:rsidR="001E22C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invasion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opportunistic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outsiders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exploit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indigenous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survival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dominate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C5C" w:rsidRDefault="00812C5C">
      <w:pPr>
        <w:rPr>
          <w:rFonts w:ascii="Times New Roman" w:hAnsi="Times New Roman" w:cs="Times New Roman"/>
          <w:sz w:val="24"/>
          <w:szCs w:val="24"/>
        </w:rPr>
      </w:pPr>
    </w:p>
    <w:p w:rsidR="00930EA0" w:rsidRDefault="00930E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Resonance</w:t>
      </w:r>
      <w:proofErr w:type="spellEnd"/>
    </w:p>
    <w:p w:rsidR="00930EA0" w:rsidRDefault="00930EA0">
      <w:pPr>
        <w:rPr>
          <w:rFonts w:ascii="Times New Roman" w:hAnsi="Times New Roman" w:cs="Times New Roman"/>
          <w:sz w:val="28"/>
          <w:szCs w:val="28"/>
        </w:rPr>
      </w:pPr>
    </w:p>
    <w:p w:rsidR="001E22C2" w:rsidRDefault="00812C5C" w:rsidP="001E2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far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relations go?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 w:rsidRPr="00930EA0">
        <w:rPr>
          <w:rFonts w:ascii="Times New Roman" w:hAnsi="Times New Roman" w:cs="Times New Roman"/>
          <w:sz w:val="24"/>
          <w:szCs w:val="24"/>
        </w:rPr>
        <w:t>Hartmut</w:t>
      </w:r>
      <w:proofErr w:type="spellEnd"/>
      <w:r w:rsidR="00930EA0" w:rsidRPr="00930EA0">
        <w:rPr>
          <w:rFonts w:ascii="Times New Roman" w:hAnsi="Times New Roman" w:cs="Times New Roman"/>
          <w:sz w:val="24"/>
          <w:szCs w:val="24"/>
        </w:rPr>
        <w:t xml:space="preserve"> </w:t>
      </w:r>
      <w:r w:rsidR="00930EA0">
        <w:rPr>
          <w:rFonts w:ascii="Times New Roman" w:hAnsi="Times New Roman" w:cs="Times New Roman"/>
          <w:sz w:val="24"/>
          <w:szCs w:val="24"/>
        </w:rPr>
        <w:t>Rosa (</w:t>
      </w:r>
      <w:r w:rsidR="007601C3">
        <w:rPr>
          <w:rFonts w:ascii="Times New Roman" w:hAnsi="Times New Roman" w:cs="Times New Roman"/>
          <w:sz w:val="24"/>
          <w:szCs w:val="24"/>
        </w:rPr>
        <w:t>2019</w:t>
      </w:r>
      <w:r w:rsidR="00930E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0EA0" w:rsidRPr="007601C3">
        <w:rPr>
          <w:rFonts w:ascii="Times New Roman" w:hAnsi="Times New Roman" w:cs="Times New Roman"/>
          <w:i/>
          <w:sz w:val="24"/>
          <w:szCs w:val="24"/>
        </w:rPr>
        <w:t>resonance</w:t>
      </w:r>
      <w:proofErr w:type="spellEnd"/>
      <w:r w:rsidR="00930EA0" w:rsidRPr="007601C3">
        <w:rPr>
          <w:rFonts w:ascii="Times New Roman" w:hAnsi="Times New Roman" w:cs="Times New Roman"/>
          <w:i/>
          <w:sz w:val="24"/>
          <w:szCs w:val="24"/>
        </w:rPr>
        <w:t>,</w:t>
      </w:r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recognising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as a source.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tuning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adopts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EA0">
        <w:rPr>
          <w:rFonts w:ascii="Times New Roman" w:hAnsi="Times New Roman" w:cs="Times New Roman"/>
          <w:sz w:val="24"/>
          <w:szCs w:val="24"/>
        </w:rPr>
        <w:t>fibration</w:t>
      </w:r>
      <w:proofErr w:type="spellEnd"/>
      <w:r w:rsidR="00930EA0">
        <w:rPr>
          <w:rFonts w:ascii="Times New Roman" w:hAnsi="Times New Roman" w:cs="Times New Roman"/>
          <w:sz w:val="24"/>
          <w:szCs w:val="24"/>
        </w:rPr>
        <w:t xml:space="preserve"> of a source of sound. </w:t>
      </w:r>
      <w:r w:rsidR="00B01A08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Buber’s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r w:rsidR="001E22C2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relations,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contact but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in control. Rosa (20</w:t>
      </w:r>
      <w:r w:rsidR="007601C3">
        <w:rPr>
          <w:rFonts w:ascii="Times New Roman" w:hAnsi="Times New Roman" w:cs="Times New Roman"/>
          <w:sz w:val="24"/>
          <w:szCs w:val="24"/>
        </w:rPr>
        <w:t>19</w:t>
      </w:r>
      <w:r w:rsidR="001E22C2">
        <w:rPr>
          <w:rFonts w:ascii="Times New Roman" w:hAnsi="Times New Roman" w:cs="Times New Roman"/>
          <w:sz w:val="24"/>
          <w:szCs w:val="24"/>
        </w:rPr>
        <w:t xml:space="preserve">: 17)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stages of control: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reachable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manageable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Excess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mute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r w:rsidR="00B01A08">
        <w:rPr>
          <w:rFonts w:ascii="Times New Roman" w:hAnsi="Times New Roman" w:cs="Times New Roman"/>
          <w:sz w:val="24"/>
          <w:szCs w:val="24"/>
        </w:rPr>
        <w:t>does</w:t>
      </w:r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stages of control, of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acessibility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affect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far in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stage of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manageable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one-sided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</w:t>
      </w:r>
      <w:r w:rsidR="00A9084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‘I-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>’</w:t>
      </w:r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Buber’s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making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destroying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intrinsic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>. Rosa (20</w:t>
      </w:r>
      <w:r w:rsidR="00E03220">
        <w:rPr>
          <w:rFonts w:ascii="Times New Roman" w:hAnsi="Times New Roman" w:cs="Times New Roman"/>
          <w:sz w:val="24"/>
          <w:szCs w:val="24"/>
        </w:rPr>
        <w:t xml:space="preserve">19: </w:t>
      </w:r>
      <w:r w:rsidR="001E22C2">
        <w:rPr>
          <w:rFonts w:ascii="Times New Roman" w:hAnsi="Times New Roman" w:cs="Times New Roman"/>
          <w:sz w:val="24"/>
          <w:szCs w:val="24"/>
        </w:rPr>
        <w:t xml:space="preserve">44)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 xml:space="preserve"> ‘semi </w:t>
      </w:r>
      <w:proofErr w:type="spellStart"/>
      <w:r w:rsidR="001E22C2">
        <w:rPr>
          <w:rFonts w:ascii="Times New Roman" w:hAnsi="Times New Roman" w:cs="Times New Roman"/>
          <w:sz w:val="24"/>
          <w:szCs w:val="24"/>
        </w:rPr>
        <w:t>controllability</w:t>
      </w:r>
      <w:proofErr w:type="spellEnd"/>
      <w:r w:rsidR="001E22C2">
        <w:rPr>
          <w:rFonts w:ascii="Times New Roman" w:hAnsi="Times New Roman" w:cs="Times New Roman"/>
          <w:sz w:val="24"/>
          <w:szCs w:val="24"/>
        </w:rPr>
        <w:t>’</w:t>
      </w:r>
      <w:r w:rsidR="001E22C2" w:rsidRPr="00D7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A0" w:rsidRDefault="00930EA0">
      <w:pPr>
        <w:rPr>
          <w:rFonts w:ascii="Times New Roman" w:hAnsi="Times New Roman" w:cs="Times New Roman"/>
          <w:sz w:val="24"/>
          <w:szCs w:val="24"/>
        </w:rPr>
      </w:pPr>
    </w:p>
    <w:p w:rsidR="00930EA0" w:rsidRPr="00930EA0" w:rsidRDefault="0093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</w:t>
      </w:r>
    </w:p>
    <w:p w:rsidR="00930EA0" w:rsidRDefault="00930EA0">
      <w:pPr>
        <w:rPr>
          <w:rFonts w:ascii="Times New Roman" w:hAnsi="Times New Roman" w:cs="Times New Roman"/>
          <w:sz w:val="24"/>
          <w:szCs w:val="24"/>
        </w:rPr>
      </w:pPr>
    </w:p>
    <w:p w:rsidR="00357622" w:rsidRDefault="000034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>
        <w:rPr>
          <w:rFonts w:ascii="Times New Roman" w:hAnsi="Times New Roman" w:cs="Times New Roman"/>
          <w:sz w:val="24"/>
          <w:szCs w:val="24"/>
        </w:rPr>
        <w:t>, without trust?</w:t>
      </w:r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trust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go a long way, in </w:t>
      </w:r>
      <w:proofErr w:type="spellStart"/>
      <w:r w:rsidR="00812C5C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sources of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hierarchical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incentives of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punishments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. Beyond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control, trust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on public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>, or persona</w:t>
      </w:r>
      <w:r w:rsidR="00357622">
        <w:rPr>
          <w:rFonts w:ascii="Times New Roman" w:hAnsi="Times New Roman" w:cs="Times New Roman"/>
          <w:sz w:val="24"/>
          <w:szCs w:val="24"/>
        </w:rPr>
        <w:t xml:space="preserve">l bonding in families, clans,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friendships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or relations of </w:t>
      </w:r>
      <w:r w:rsidR="00357622">
        <w:rPr>
          <w:rFonts w:ascii="Times New Roman" w:hAnsi="Times New Roman" w:cs="Times New Roman"/>
          <w:sz w:val="24"/>
          <w:szCs w:val="24"/>
        </w:rPr>
        <w:lastRenderedPageBreak/>
        <w:t>love (Nooteboom 2002).</w:t>
      </w:r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act or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even of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. Even </w:t>
      </w:r>
      <w:proofErr w:type="spellStart"/>
      <w:r w:rsidR="00812C5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1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5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812C5C">
        <w:rPr>
          <w:rFonts w:ascii="Times New Roman" w:hAnsi="Times New Roman" w:cs="Times New Roman"/>
          <w:sz w:val="24"/>
          <w:szCs w:val="24"/>
        </w:rPr>
        <w:t xml:space="preserve"> has</w:t>
      </w:r>
      <w:r w:rsidR="00357622">
        <w:rPr>
          <w:rFonts w:ascii="Times New Roman" w:hAnsi="Times New Roman" w:cs="Times New Roman"/>
          <w:sz w:val="24"/>
          <w:szCs w:val="24"/>
        </w:rPr>
        <w:t xml:space="preserve"> strong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virtues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trust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leap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>’</w:t>
      </w:r>
      <w:r w:rsidR="00EA5A12">
        <w:rPr>
          <w:rFonts w:ascii="Times New Roman" w:hAnsi="Times New Roman" w:cs="Times New Roman"/>
          <w:sz w:val="24"/>
          <w:szCs w:val="24"/>
        </w:rPr>
        <w:t xml:space="preserve"> (Moellering 2009)</w:t>
      </w:r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trustworthiness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>.</w:t>
      </w:r>
    </w:p>
    <w:p w:rsidR="00357622" w:rsidRDefault="00357622">
      <w:pPr>
        <w:rPr>
          <w:rFonts w:ascii="Times New Roman" w:hAnsi="Times New Roman" w:cs="Times New Roman"/>
          <w:sz w:val="24"/>
          <w:szCs w:val="24"/>
        </w:rPr>
      </w:pPr>
    </w:p>
    <w:p w:rsidR="00241F27" w:rsidRDefault="00930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r w:rsidR="0035762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or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indeed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="003576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7622">
        <w:rPr>
          <w:rFonts w:ascii="Times New Roman" w:hAnsi="Times New Roman" w:cs="Times New Roman"/>
          <w:sz w:val="24"/>
          <w:szCs w:val="24"/>
        </w:rPr>
        <w:t>.</w:t>
      </w:r>
      <w:r w:rsidR="00241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distrust, but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evolve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 trust,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F2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241F27">
        <w:rPr>
          <w:rFonts w:ascii="Times New Roman" w:hAnsi="Times New Roman" w:cs="Times New Roman"/>
          <w:sz w:val="24"/>
          <w:szCs w:val="24"/>
        </w:rPr>
        <w:t>, is never blind.</w:t>
      </w:r>
    </w:p>
    <w:p w:rsidR="001E22C2" w:rsidRDefault="001E22C2">
      <w:pPr>
        <w:rPr>
          <w:rFonts w:ascii="Times New Roman" w:hAnsi="Times New Roman" w:cs="Times New Roman"/>
          <w:sz w:val="24"/>
          <w:szCs w:val="24"/>
        </w:rPr>
      </w:pPr>
    </w:p>
    <w:p w:rsidR="00B01A08" w:rsidRDefault="00B01A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Conclusion</w:t>
      </w:r>
      <w:proofErr w:type="spellEnd"/>
    </w:p>
    <w:p w:rsidR="00B01A08" w:rsidRDefault="00B01A08">
      <w:pPr>
        <w:rPr>
          <w:rFonts w:ascii="Times New Roman" w:hAnsi="Times New Roman" w:cs="Times New Roman"/>
          <w:sz w:val="28"/>
          <w:szCs w:val="28"/>
        </w:rPr>
      </w:pPr>
    </w:p>
    <w:p w:rsidR="00B01A08" w:rsidRPr="00B01A08" w:rsidRDefault="00F261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srategic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implies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anticipation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of actions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responses,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, indeed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="00B01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A08"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a source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shift of </w:t>
      </w:r>
      <w:proofErr w:type="spellStart"/>
      <w:r w:rsidR="00EA5A12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="00EA5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background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A08" w:rsidRDefault="00B01A08">
      <w:pPr>
        <w:rPr>
          <w:rFonts w:ascii="Times New Roman" w:hAnsi="Times New Roman" w:cs="Times New Roman"/>
          <w:sz w:val="24"/>
          <w:szCs w:val="24"/>
        </w:rPr>
      </w:pPr>
    </w:p>
    <w:p w:rsidR="001E22C2" w:rsidRDefault="001E22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References</w:t>
      </w:r>
      <w:proofErr w:type="spellEnd"/>
    </w:p>
    <w:p w:rsidR="00BE0B28" w:rsidRDefault="00BE0B28">
      <w:pPr>
        <w:rPr>
          <w:rFonts w:ascii="Times New Roman" w:hAnsi="Times New Roman" w:cs="Times New Roman"/>
          <w:sz w:val="28"/>
          <w:szCs w:val="28"/>
        </w:rPr>
      </w:pPr>
    </w:p>
    <w:p w:rsidR="00BE0B28" w:rsidRDefault="00BE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B28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 xml:space="preserve">, M. (2006), </w:t>
      </w:r>
      <w:r w:rsidR="00B14A99">
        <w:rPr>
          <w:rFonts w:ascii="Times New Roman" w:hAnsi="Times New Roman" w:cs="Times New Roman"/>
          <w:i/>
          <w:sz w:val="24"/>
          <w:szCs w:val="24"/>
        </w:rPr>
        <w:t xml:space="preserve">Das dialogische </w:t>
      </w:r>
      <w:proofErr w:type="spellStart"/>
      <w:r w:rsidR="00B14A99">
        <w:rPr>
          <w:rFonts w:ascii="Times New Roman" w:hAnsi="Times New Roman" w:cs="Times New Roman"/>
          <w:i/>
          <w:sz w:val="24"/>
          <w:szCs w:val="24"/>
        </w:rPr>
        <w:t>P</w:t>
      </w:r>
      <w:r w:rsidRPr="00BE0B28">
        <w:rPr>
          <w:rFonts w:ascii="Times New Roman" w:hAnsi="Times New Roman" w:cs="Times New Roman"/>
          <w:i/>
          <w:sz w:val="24"/>
          <w:szCs w:val="24"/>
        </w:rPr>
        <w:t>rinzip</w:t>
      </w:r>
      <w:proofErr w:type="spellEnd"/>
      <w:r w:rsidRPr="00BE0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B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28">
        <w:rPr>
          <w:rFonts w:ascii="Times New Roman" w:hAnsi="Times New Roman" w:cs="Times New Roman"/>
          <w:sz w:val="24"/>
          <w:szCs w:val="24"/>
        </w:rPr>
        <w:t>dialogical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28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Gȕtersloh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Germany: </w:t>
      </w:r>
      <w:proofErr w:type="spellStart"/>
      <w:r>
        <w:rPr>
          <w:rFonts w:ascii="Times New Roman" w:hAnsi="Times New Roman" w:cs="Times New Roman"/>
          <w:sz w:val="24"/>
          <w:szCs w:val="24"/>
        </w:rPr>
        <w:t>Gȕ</w:t>
      </w:r>
      <w:r w:rsidRPr="00BE0B28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0B28">
        <w:rPr>
          <w:rFonts w:ascii="Times New Roman" w:hAnsi="Times New Roman" w:cs="Times New Roman"/>
          <w:sz w:val="24"/>
          <w:szCs w:val="24"/>
        </w:rPr>
        <w:t>loher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28">
        <w:rPr>
          <w:rFonts w:ascii="Times New Roman" w:hAnsi="Times New Roman" w:cs="Times New Roman"/>
          <w:sz w:val="24"/>
          <w:szCs w:val="24"/>
        </w:rPr>
        <w:t>Verlagshaus</w:t>
      </w:r>
      <w:proofErr w:type="spellEnd"/>
      <w:r w:rsidRPr="00BE0B28">
        <w:rPr>
          <w:rFonts w:ascii="Times New Roman" w:hAnsi="Times New Roman" w:cs="Times New Roman"/>
          <w:sz w:val="24"/>
          <w:szCs w:val="24"/>
        </w:rPr>
        <w:t>.</w:t>
      </w:r>
    </w:p>
    <w:p w:rsidR="00BE0B28" w:rsidRDefault="00BE0B28">
      <w:pPr>
        <w:rPr>
          <w:rFonts w:ascii="Times New Roman" w:hAnsi="Times New Roman" w:cs="Times New Roman"/>
          <w:sz w:val="24"/>
          <w:szCs w:val="24"/>
        </w:rPr>
      </w:pPr>
    </w:p>
    <w:p w:rsidR="003F43EA" w:rsidRPr="003F43EA" w:rsidRDefault="003F43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K.N.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Anderson (1998),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-Rogers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Communication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8/1: 63-104. </w:t>
      </w:r>
    </w:p>
    <w:p w:rsidR="003F43EA" w:rsidRDefault="003F43EA">
      <w:pPr>
        <w:rPr>
          <w:rFonts w:ascii="Times New Roman" w:hAnsi="Times New Roman" w:cs="Times New Roman"/>
          <w:sz w:val="24"/>
          <w:szCs w:val="24"/>
        </w:rPr>
      </w:pPr>
    </w:p>
    <w:p w:rsidR="00E03220" w:rsidRDefault="00E03220">
      <w:pPr>
        <w:rPr>
          <w:rFonts w:ascii="Times New Roman" w:hAnsi="Times New Roman" w:cs="Times New Roman"/>
          <w:sz w:val="24"/>
          <w:szCs w:val="24"/>
        </w:rPr>
      </w:pPr>
      <w:r w:rsidRPr="00A3240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A32403">
        <w:rPr>
          <w:rFonts w:ascii="Times New Roman" w:hAnsi="Times New Roman"/>
          <w:sz w:val="24"/>
          <w:szCs w:val="24"/>
        </w:rPr>
        <w:t>Dreu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, Carsten, Daniel </w:t>
      </w:r>
      <w:proofErr w:type="spellStart"/>
      <w:r w:rsidRPr="00A32403">
        <w:rPr>
          <w:rFonts w:ascii="Times New Roman" w:hAnsi="Times New Roman"/>
          <w:sz w:val="24"/>
          <w:szCs w:val="24"/>
        </w:rPr>
        <w:t>Balliet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and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Nir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Halevy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32403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A32403">
        <w:rPr>
          <w:rFonts w:ascii="Times New Roman" w:hAnsi="Times New Roman"/>
          <w:sz w:val="24"/>
          <w:szCs w:val="24"/>
        </w:rPr>
        <w:t>, ‘</w:t>
      </w:r>
      <w:proofErr w:type="spellStart"/>
      <w:r w:rsidRPr="00A32403">
        <w:rPr>
          <w:rFonts w:ascii="Times New Roman" w:hAnsi="Times New Roman"/>
          <w:sz w:val="24"/>
          <w:szCs w:val="24"/>
        </w:rPr>
        <w:t>Parochial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cooperation in </w:t>
      </w:r>
      <w:proofErr w:type="spellStart"/>
      <w:r w:rsidRPr="00A32403">
        <w:rPr>
          <w:rFonts w:ascii="Times New Roman" w:hAnsi="Times New Roman"/>
          <w:sz w:val="24"/>
          <w:szCs w:val="24"/>
        </w:rPr>
        <w:t>humans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: Forms </w:t>
      </w:r>
      <w:proofErr w:type="spellStart"/>
      <w:r w:rsidRPr="00A32403">
        <w:rPr>
          <w:rFonts w:ascii="Times New Roman" w:hAnsi="Times New Roman"/>
          <w:sz w:val="24"/>
          <w:szCs w:val="24"/>
        </w:rPr>
        <w:t>and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functions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32403">
        <w:rPr>
          <w:rFonts w:ascii="Times New Roman" w:hAnsi="Times New Roman"/>
          <w:sz w:val="24"/>
          <w:szCs w:val="24"/>
        </w:rPr>
        <w:t>self-sacrifice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32403">
        <w:rPr>
          <w:rFonts w:ascii="Times New Roman" w:hAnsi="Times New Roman"/>
          <w:sz w:val="24"/>
          <w:szCs w:val="24"/>
        </w:rPr>
        <w:t>intergroup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conflict’, </w:t>
      </w:r>
      <w:r w:rsidRPr="00A32403">
        <w:rPr>
          <w:rFonts w:ascii="Times New Roman" w:hAnsi="Times New Roman"/>
          <w:i/>
          <w:sz w:val="24"/>
          <w:szCs w:val="24"/>
        </w:rPr>
        <w:t xml:space="preserve">Advances in </w:t>
      </w:r>
      <w:proofErr w:type="spellStart"/>
      <w:r w:rsidRPr="00A32403">
        <w:rPr>
          <w:rFonts w:ascii="Times New Roman" w:hAnsi="Times New Roman"/>
          <w:i/>
          <w:sz w:val="24"/>
          <w:szCs w:val="24"/>
        </w:rPr>
        <w:t>Motivation</w:t>
      </w:r>
      <w:proofErr w:type="spellEnd"/>
      <w:r w:rsidRPr="00A324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A32403">
        <w:rPr>
          <w:rFonts w:ascii="Times New Roman" w:hAnsi="Times New Roman"/>
          <w:i/>
          <w:sz w:val="24"/>
          <w:szCs w:val="24"/>
        </w:rPr>
        <w:t xml:space="preserve"> </w:t>
      </w:r>
      <w:r w:rsidRPr="00A32403">
        <w:rPr>
          <w:rFonts w:ascii="Times New Roman" w:hAnsi="Times New Roman"/>
          <w:b/>
          <w:sz w:val="24"/>
          <w:szCs w:val="24"/>
        </w:rPr>
        <w:t>1</w:t>
      </w:r>
      <w:r w:rsidRPr="00A32403">
        <w:rPr>
          <w:rFonts w:ascii="Times New Roman" w:hAnsi="Times New Roman"/>
          <w:sz w:val="24"/>
          <w:szCs w:val="24"/>
        </w:rPr>
        <w:t xml:space="preserve"> 1-47</w:t>
      </w:r>
    </w:p>
    <w:p w:rsidR="00E03220" w:rsidRDefault="00E03220">
      <w:pPr>
        <w:rPr>
          <w:rFonts w:ascii="Times New Roman" w:hAnsi="Times New Roman" w:cs="Times New Roman"/>
          <w:sz w:val="24"/>
          <w:szCs w:val="24"/>
        </w:rPr>
      </w:pPr>
    </w:p>
    <w:p w:rsidR="00B14A99" w:rsidRPr="00170901" w:rsidRDefault="00B14A99" w:rsidP="00B1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Habermas, J. (1984),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Vorstudien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Ergȧnzungen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Theorie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kommunikativen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Handelns,</w:t>
      </w:r>
      <w:r>
        <w:rPr>
          <w:rFonts w:ascii="Times New Roman" w:hAnsi="Times New Roman" w:cs="Times New Roman"/>
          <w:sz w:val="24"/>
          <w:szCs w:val="24"/>
        </w:rPr>
        <w:t>Frankfurt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Verlag.</w:t>
      </w:r>
    </w:p>
    <w:p w:rsidR="00A90849" w:rsidRDefault="00A90849">
      <w:pPr>
        <w:rPr>
          <w:rFonts w:ascii="Times New Roman" w:hAnsi="Times New Roman" w:cs="Times New Roman"/>
          <w:sz w:val="24"/>
          <w:szCs w:val="24"/>
        </w:rPr>
      </w:pPr>
    </w:p>
    <w:p w:rsidR="00E03220" w:rsidRDefault="00E03220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proofErr w:type="spellStart"/>
      <w:r w:rsidRPr="00A32403">
        <w:rPr>
          <w:rFonts w:ascii="Times New Roman" w:hAnsi="Times New Roman"/>
          <w:sz w:val="24"/>
          <w:szCs w:val="24"/>
          <w:lang w:val="en-GB"/>
        </w:rPr>
        <w:t>Lindenberg</w:t>
      </w:r>
      <w:proofErr w:type="spellEnd"/>
      <w:r w:rsidRPr="00A32403">
        <w:rPr>
          <w:rFonts w:ascii="Times New Roman" w:hAnsi="Times New Roman"/>
          <w:sz w:val="24"/>
          <w:szCs w:val="24"/>
          <w:lang w:val="en-GB"/>
        </w:rPr>
        <w:t>, S.M.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  <w:rPrChange w:id="0" w:author="HP" w:date="2020-09-02T12:54:00Z">
            <w:rPr>
              <w:lang w:val="en-GB"/>
            </w:rPr>
          </w:rPrChange>
        </w:rPr>
        <w:t>2003</w:t>
      </w:r>
      <w:r>
        <w:rPr>
          <w:rFonts w:ascii="Times New Roman" w:hAnsi="Times New Roman"/>
          <w:bCs/>
          <w:spacing w:val="-2"/>
          <w:sz w:val="24"/>
          <w:szCs w:val="24"/>
          <w:lang w:val="en-GB"/>
        </w:rPr>
        <w:t>)</w:t>
      </w:r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  <w:rPrChange w:id="1" w:author="HP" w:date="2020-09-02T12:54:00Z">
            <w:rPr>
              <w:lang w:val="en-GB"/>
            </w:rPr>
          </w:rPrChange>
        </w:rPr>
        <w:t xml:space="preserve">, ‘Governance seen from a framing point of </w:t>
      </w:r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view: The employment relationship and relational signalling’ in: B. </w:t>
      </w:r>
      <w:proofErr w:type="spellStart"/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</w:rPr>
        <w:t>Nooteboom</w:t>
      </w:r>
      <w:proofErr w:type="spellEnd"/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&amp; F.E. Six (eds.), </w:t>
      </w:r>
      <w:r w:rsidRPr="00A32403">
        <w:rPr>
          <w:rFonts w:ascii="Times New Roman" w:hAnsi="Times New Roman"/>
          <w:bCs/>
          <w:i/>
          <w:spacing w:val="-2"/>
          <w:sz w:val="24"/>
          <w:szCs w:val="24"/>
          <w:lang w:val="en-GB"/>
        </w:rPr>
        <w:t xml:space="preserve">The trust process: Empirical studies of the determinants and the process of trust development, </w:t>
      </w:r>
      <w:r w:rsidRPr="00A32403">
        <w:rPr>
          <w:rFonts w:ascii="Times New Roman" w:hAnsi="Times New Roman"/>
          <w:bCs/>
          <w:spacing w:val="-2"/>
          <w:sz w:val="24"/>
          <w:szCs w:val="24"/>
          <w:lang w:val="en-GB"/>
        </w:rPr>
        <w:t>Cheltenham: Edward Elgar, 37-57.</w:t>
      </w:r>
    </w:p>
    <w:p w:rsidR="00E03220" w:rsidRDefault="00E03220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</w:p>
    <w:p w:rsidR="00EA5A12" w:rsidRDefault="00EA5A12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A32403">
        <w:rPr>
          <w:rFonts w:ascii="Times New Roman" w:hAnsi="Times New Roman"/>
          <w:sz w:val="24"/>
          <w:szCs w:val="24"/>
        </w:rPr>
        <w:t xml:space="preserve">Moellering, Guido </w:t>
      </w:r>
      <w:r>
        <w:rPr>
          <w:rFonts w:ascii="Times New Roman" w:hAnsi="Times New Roman"/>
          <w:sz w:val="24"/>
          <w:szCs w:val="24"/>
        </w:rPr>
        <w:t>(</w:t>
      </w:r>
      <w:r w:rsidRPr="00A3240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A32403">
        <w:rPr>
          <w:rFonts w:ascii="Times New Roman" w:hAnsi="Times New Roman"/>
          <w:sz w:val="24"/>
          <w:szCs w:val="24"/>
        </w:rPr>
        <w:t>, ‘</w:t>
      </w:r>
      <w:proofErr w:type="spellStart"/>
      <w:r w:rsidRPr="00A32403">
        <w:rPr>
          <w:rFonts w:ascii="Times New Roman" w:hAnsi="Times New Roman"/>
          <w:sz w:val="24"/>
          <w:szCs w:val="24"/>
        </w:rPr>
        <w:t>Leaps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and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Lapses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32403">
        <w:rPr>
          <w:rFonts w:ascii="Times New Roman" w:hAnsi="Times New Roman"/>
          <w:sz w:val="24"/>
          <w:szCs w:val="24"/>
        </w:rPr>
        <w:t>Faith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2403">
        <w:rPr>
          <w:rFonts w:ascii="Times New Roman" w:hAnsi="Times New Roman"/>
          <w:sz w:val="24"/>
          <w:szCs w:val="24"/>
        </w:rPr>
        <w:t>Exploring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the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Relationship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Between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Trust </w:t>
      </w:r>
      <w:proofErr w:type="spellStart"/>
      <w:r w:rsidRPr="00A32403">
        <w:rPr>
          <w:rFonts w:ascii="Times New Roman" w:hAnsi="Times New Roman"/>
          <w:sz w:val="24"/>
          <w:szCs w:val="24"/>
        </w:rPr>
        <w:t>and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03">
        <w:rPr>
          <w:rFonts w:ascii="Times New Roman" w:hAnsi="Times New Roman"/>
          <w:sz w:val="24"/>
          <w:szCs w:val="24"/>
        </w:rPr>
        <w:t>Deception</w:t>
      </w:r>
      <w:proofErr w:type="spellEnd"/>
      <w:r w:rsidRPr="00A32403">
        <w:rPr>
          <w:rFonts w:ascii="Times New Roman" w:hAnsi="Times New Roman"/>
          <w:sz w:val="24"/>
          <w:szCs w:val="24"/>
        </w:rPr>
        <w:t xml:space="preserve">’, in: B. Herrington (ed.) </w:t>
      </w:r>
      <w:proofErr w:type="spellStart"/>
      <w:r w:rsidRPr="00A32403">
        <w:rPr>
          <w:rFonts w:ascii="Times New Roman" w:hAnsi="Times New Roman"/>
          <w:i/>
          <w:sz w:val="24"/>
          <w:szCs w:val="24"/>
        </w:rPr>
        <w:t>Deception</w:t>
      </w:r>
      <w:proofErr w:type="spellEnd"/>
      <w:r w:rsidRPr="00A3240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2403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Pr="00A32403">
        <w:rPr>
          <w:rFonts w:ascii="Times New Roman" w:hAnsi="Times New Roman"/>
          <w:i/>
          <w:sz w:val="24"/>
          <w:szCs w:val="24"/>
        </w:rPr>
        <w:t xml:space="preserve"> Ancient Empires </w:t>
      </w:r>
      <w:proofErr w:type="spellStart"/>
      <w:r w:rsidRPr="00A32403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A32403">
        <w:rPr>
          <w:rFonts w:ascii="Times New Roman" w:hAnsi="Times New Roman"/>
          <w:i/>
          <w:sz w:val="24"/>
          <w:szCs w:val="24"/>
        </w:rPr>
        <w:t xml:space="preserve"> Internet Dating, </w:t>
      </w:r>
      <w:r w:rsidRPr="00A32403">
        <w:rPr>
          <w:rFonts w:ascii="Times New Roman" w:hAnsi="Times New Roman"/>
          <w:sz w:val="24"/>
          <w:szCs w:val="24"/>
        </w:rPr>
        <w:t>Stanford: Stanford University Press, 137-53</w:t>
      </w:r>
    </w:p>
    <w:p w:rsidR="00EA5A12" w:rsidRDefault="00EA5A12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</w:p>
    <w:p w:rsidR="00FF5ACD" w:rsidRPr="00AC13F0" w:rsidRDefault="00FF5ACD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Morgan, W.J. and A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  <w:lang w:val="en-GB"/>
        </w:rPr>
        <w:t>Guillerme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(2010), ‘I and Thou: the educational lessons of Martin Buber’s dialogue with the conflicts of his times’</w:t>
      </w:r>
      <w:r w:rsidR="00AC13F0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, </w:t>
      </w:r>
      <w:r w:rsidR="00AC13F0">
        <w:rPr>
          <w:rFonts w:ascii="Times New Roman" w:hAnsi="Times New Roman"/>
          <w:bCs/>
          <w:i/>
          <w:spacing w:val="-2"/>
          <w:sz w:val="24"/>
          <w:szCs w:val="24"/>
          <w:lang w:val="en-GB"/>
        </w:rPr>
        <w:t xml:space="preserve">Educational Philosophy and Theory, </w:t>
      </w:r>
      <w:proofErr w:type="spellStart"/>
      <w:r w:rsidR="00AC13F0">
        <w:rPr>
          <w:rFonts w:ascii="Times New Roman" w:hAnsi="Times New Roman"/>
          <w:bCs/>
          <w:spacing w:val="-2"/>
          <w:sz w:val="24"/>
          <w:szCs w:val="24"/>
          <w:lang w:val="en-GB"/>
        </w:rPr>
        <w:t>doi</w:t>
      </w:r>
      <w:proofErr w:type="spellEnd"/>
      <w:r w:rsidR="00AC13F0">
        <w:rPr>
          <w:rFonts w:ascii="Times New Roman" w:hAnsi="Times New Roman"/>
          <w:bCs/>
          <w:spacing w:val="-2"/>
          <w:sz w:val="24"/>
          <w:szCs w:val="24"/>
          <w:lang w:val="en-GB"/>
        </w:rPr>
        <w:t>: 10.1111/j.1469-5812.2010.00681.x</w:t>
      </w:r>
    </w:p>
    <w:p w:rsidR="00FF5ACD" w:rsidRDefault="00FF5ACD">
      <w:pPr>
        <w:rPr>
          <w:rFonts w:ascii="Times New Roman" w:hAnsi="Times New Roman"/>
          <w:bCs/>
          <w:spacing w:val="-2"/>
          <w:sz w:val="24"/>
          <w:szCs w:val="24"/>
          <w:lang w:val="en-GB"/>
        </w:rPr>
      </w:pPr>
    </w:p>
    <w:p w:rsidR="00BE0B28" w:rsidRDefault="00BE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Rosa. H. (2019),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Resonance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9D587D" w:rsidRDefault="009D587D">
      <w:pPr>
        <w:rPr>
          <w:rFonts w:ascii="Times New Roman" w:hAnsi="Times New Roman" w:cs="Times New Roman"/>
          <w:sz w:val="24"/>
          <w:szCs w:val="24"/>
        </w:rPr>
      </w:pPr>
    </w:p>
    <w:p w:rsidR="00B87F88" w:rsidRPr="00B87F88" w:rsidRDefault="00B87F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Searle</w:t>
      </w:r>
      <w:proofErr w:type="spellEnd"/>
      <w:r>
        <w:rPr>
          <w:rFonts w:ascii="Times New Roman" w:hAnsi="Times New Roman" w:cs="Times New Roman"/>
          <w:sz w:val="24"/>
          <w:szCs w:val="24"/>
        </w:rPr>
        <w:t>, D.(2003),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bridge’ in: S. Murphy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Dudley-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Language arts, teaching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context, </w:t>
      </w:r>
      <w:r>
        <w:rPr>
          <w:rFonts w:ascii="Times New Roman" w:hAnsi="Times New Roman" w:cs="Times New Roman"/>
          <w:sz w:val="24"/>
          <w:szCs w:val="24"/>
        </w:rPr>
        <w:t>National Council of T</w:t>
      </w:r>
      <w:r w:rsidRPr="00B87F88">
        <w:rPr>
          <w:rFonts w:ascii="Times New Roman" w:hAnsi="Times New Roman" w:cs="Times New Roman"/>
          <w:sz w:val="24"/>
          <w:szCs w:val="24"/>
        </w:rPr>
        <w:t>eachers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>, pp.26-29</w:t>
      </w:r>
      <w:r w:rsidRPr="00B87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F88" w:rsidRPr="00B87F88" w:rsidRDefault="00B87F88">
      <w:pPr>
        <w:rPr>
          <w:rFonts w:ascii="Times New Roman" w:hAnsi="Times New Roman" w:cs="Times New Roman"/>
          <w:sz w:val="24"/>
          <w:szCs w:val="24"/>
        </w:rPr>
      </w:pPr>
    </w:p>
    <w:p w:rsidR="009D587D" w:rsidRPr="007601C3" w:rsidRDefault="009D58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Vygotsky</w:t>
      </w:r>
      <w:proofErr w:type="spellEnd"/>
      <w:r>
        <w:rPr>
          <w:rFonts w:ascii="Times New Roman" w:hAnsi="Times New Roman" w:cs="Times New Roman"/>
          <w:sz w:val="24"/>
          <w:szCs w:val="24"/>
        </w:rPr>
        <w:t>, L. (</w:t>
      </w:r>
      <w:r w:rsidR="007601C3">
        <w:rPr>
          <w:rFonts w:ascii="Times New Roman" w:hAnsi="Times New Roman" w:cs="Times New Roman"/>
          <w:sz w:val="24"/>
          <w:szCs w:val="24"/>
        </w:rPr>
        <w:t xml:space="preserve">1934) Denken </w:t>
      </w:r>
      <w:proofErr w:type="spellStart"/>
      <w:r w:rsidR="007601C3">
        <w:rPr>
          <w:rFonts w:ascii="Times New Roman" w:hAnsi="Times New Roman" w:cs="Times New Roman"/>
          <w:sz w:val="24"/>
          <w:szCs w:val="24"/>
        </w:rPr>
        <w:t>u</w:t>
      </w:r>
      <w:bookmarkStart w:id="2" w:name="_GoBack"/>
      <w:bookmarkEnd w:id="2"/>
      <w:r w:rsidR="007601C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6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C3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="0076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1C3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="007601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601C3">
        <w:rPr>
          <w:rFonts w:ascii="Times New Roman" w:hAnsi="Times New Roman" w:cs="Times New Roman"/>
          <w:i/>
          <w:sz w:val="24"/>
          <w:szCs w:val="24"/>
        </w:rPr>
        <w:t>Thought</w:t>
      </w:r>
      <w:proofErr w:type="spellEnd"/>
      <w:r w:rsidR="00760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1C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760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01C3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="007601C3">
        <w:rPr>
          <w:rFonts w:ascii="Times New Roman" w:hAnsi="Times New Roman" w:cs="Times New Roman"/>
          <w:sz w:val="24"/>
          <w:szCs w:val="24"/>
        </w:rPr>
        <w:t xml:space="preserve">. Cambridge MA: MIT Press. 1962. </w:t>
      </w:r>
    </w:p>
    <w:p w:rsidR="009D587D" w:rsidRDefault="009D587D">
      <w:pPr>
        <w:rPr>
          <w:rFonts w:ascii="Times New Roman" w:hAnsi="Times New Roman" w:cs="Times New Roman"/>
          <w:sz w:val="24"/>
          <w:szCs w:val="24"/>
        </w:rPr>
      </w:pPr>
    </w:p>
    <w:p w:rsidR="009D587D" w:rsidRPr="009D587D" w:rsidRDefault="009D58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D.J., J.S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(1976),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psychiatry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587D">
        <w:rPr>
          <w:rFonts w:ascii="Times New Roman" w:hAnsi="Times New Roman" w:cs="Times New Roman"/>
          <w:sz w:val="24"/>
          <w:szCs w:val="24"/>
        </w:rPr>
        <w:t>17/2: 89-100</w:t>
      </w:r>
    </w:p>
    <w:sectPr w:rsidR="009D587D" w:rsidRPr="009D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65"/>
    <w:rsid w:val="00003463"/>
    <w:rsid w:val="0006162F"/>
    <w:rsid w:val="0008039A"/>
    <w:rsid w:val="001E22C2"/>
    <w:rsid w:val="001E6BB4"/>
    <w:rsid w:val="0024148C"/>
    <w:rsid w:val="00241F27"/>
    <w:rsid w:val="00261233"/>
    <w:rsid w:val="00357622"/>
    <w:rsid w:val="003F43EA"/>
    <w:rsid w:val="004521E2"/>
    <w:rsid w:val="005101E4"/>
    <w:rsid w:val="006D684D"/>
    <w:rsid w:val="007529AC"/>
    <w:rsid w:val="007601C3"/>
    <w:rsid w:val="00781208"/>
    <w:rsid w:val="0078206E"/>
    <w:rsid w:val="007F7D79"/>
    <w:rsid w:val="00812C5C"/>
    <w:rsid w:val="00824874"/>
    <w:rsid w:val="008D0DD2"/>
    <w:rsid w:val="008D4B05"/>
    <w:rsid w:val="008F7524"/>
    <w:rsid w:val="00930EA0"/>
    <w:rsid w:val="009D587D"/>
    <w:rsid w:val="00A90849"/>
    <w:rsid w:val="00AC13F0"/>
    <w:rsid w:val="00B01A08"/>
    <w:rsid w:val="00B14A99"/>
    <w:rsid w:val="00B87F88"/>
    <w:rsid w:val="00BE0B28"/>
    <w:rsid w:val="00CC2819"/>
    <w:rsid w:val="00CC6B82"/>
    <w:rsid w:val="00D3668E"/>
    <w:rsid w:val="00E03220"/>
    <w:rsid w:val="00E73365"/>
    <w:rsid w:val="00EA5A12"/>
    <w:rsid w:val="00EE0275"/>
    <w:rsid w:val="00F2259D"/>
    <w:rsid w:val="00F261A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107B-7F7C-4870-BEAE-06D3BF7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8506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2021-04-19T07:27:00Z</dcterms:created>
  <dcterms:modified xsi:type="dcterms:W3CDTF">2021-04-19T07:27:00Z</dcterms:modified>
</cp:coreProperties>
</file>